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54A79">
      <w:pPr>
        <w:ind w:firstLineChars="0" w:firstLine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354A79">
      <w:pPr>
        <w:spacing w:line="640" w:lineRule="exact"/>
        <w:ind w:firstLineChars="0" w:firstLine="0"/>
        <w:jc w:val="center"/>
        <w:rPr>
          <w:rFonts w:ascii="创艺简标宋" w:eastAsia="创艺简标宋" w:hAnsi="创艺简标宋" w:cs="创艺简标宋" w:hint="eastAsia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国防基础科研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项目建议书初审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参考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标准</w:t>
      </w:r>
    </w:p>
    <w:p w:rsidR="00000000" w:rsidRDefault="00354A79">
      <w:pPr>
        <w:spacing w:line="320" w:lineRule="exact"/>
        <w:ind w:firstLineChars="0" w:firstLine="0"/>
        <w:jc w:val="center"/>
        <w:rPr>
          <w:rFonts w:ascii="创艺简标宋" w:eastAsia="创艺简标宋" w:hAnsi="创艺简标宋" w:cs="创艺简标宋" w:hint="eastAsia"/>
          <w:sz w:val="36"/>
          <w:szCs w:val="36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648"/>
      </w:tblGrid>
      <w:tr w:rsidR="00000000">
        <w:trPr>
          <w:trHeight w:val="391"/>
          <w:jc w:val="center"/>
        </w:trPr>
        <w:tc>
          <w:tcPr>
            <w:tcW w:w="136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审查内容</w:t>
            </w:r>
          </w:p>
        </w:tc>
        <w:tc>
          <w:tcPr>
            <w:tcW w:w="764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 w:hint="eastAsia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问题类型</w:t>
            </w:r>
          </w:p>
        </w:tc>
      </w:tr>
      <w:tr w:rsidR="00000000">
        <w:trPr>
          <w:trHeight w:val="3350"/>
          <w:jc w:val="center"/>
        </w:trPr>
        <w:tc>
          <w:tcPr>
            <w:tcW w:w="136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b/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一、申报渠道的正确性及手续的完备性</w:t>
            </w:r>
          </w:p>
        </w:tc>
        <w:tc>
          <w:tcPr>
            <w:tcW w:w="764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．承研单位未通过本单位主管部门申报。例如，军工集团公司所属单位，应通过本集团公司申报，不应通过</w:t>
            </w:r>
            <w:r>
              <w:rPr>
                <w:rFonts w:hint="eastAsia"/>
                <w:sz w:val="24"/>
                <w:szCs w:val="24"/>
              </w:rPr>
              <w:t>地方国防科技工业管理部门</w:t>
            </w:r>
            <w:r>
              <w:rPr>
                <w:rFonts w:hint="eastAsia"/>
                <w:sz w:val="24"/>
                <w:szCs w:val="24"/>
              </w:rPr>
              <w:t>申报；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．同一主管单位提交两份以上建议书，申报同一个项目的；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项目申报单位（包括参与申报单位），对同一项目重复或交叉申报与参与；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．项目名称、承研单位、申报经费、研究周期</w:t>
            </w:r>
            <w:r>
              <w:rPr>
                <w:rFonts w:hint="eastAsia"/>
                <w:sz w:val="24"/>
                <w:szCs w:val="24"/>
              </w:rPr>
              <w:t>、项目负责人</w:t>
            </w:r>
            <w:r>
              <w:rPr>
                <w:rFonts w:hint="eastAsia"/>
                <w:sz w:val="24"/>
                <w:szCs w:val="24"/>
              </w:rPr>
              <w:t>等信息在主管单位报送的立项请示文件中没有体现或不一致；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．主管单位、承研单位未按建议书编制要求</w:t>
            </w:r>
            <w:r>
              <w:rPr>
                <w:rFonts w:hint="eastAsia"/>
                <w:sz w:val="24"/>
                <w:szCs w:val="24"/>
              </w:rPr>
              <w:t>盖章；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．相关人员未按建议书编制要求签字（章）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00000">
        <w:trPr>
          <w:trHeight w:val="1940"/>
          <w:jc w:val="center"/>
        </w:trPr>
        <w:tc>
          <w:tcPr>
            <w:tcW w:w="136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二、申报文档的完整性和规范性</w:t>
            </w:r>
          </w:p>
        </w:tc>
        <w:tc>
          <w:tcPr>
            <w:tcW w:w="764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．建议书未按相关管理办法填写要求进行填写，填写内容遗漏或不规范；</w:t>
            </w:r>
            <w:r>
              <w:rPr>
                <w:rFonts w:hint="eastAsia"/>
                <w:sz w:val="24"/>
                <w:szCs w:val="24"/>
              </w:rPr>
              <w:t>缺少要求的相关材料，建议书缺页少页，或未按要求双面打印；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．建议书中未明确落实联合申报单位的任务、人员、经费；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．建议书未准确填报计划渠道、专题等分类信息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00000">
        <w:trPr>
          <w:trHeight w:val="2620"/>
          <w:jc w:val="center"/>
        </w:trPr>
        <w:tc>
          <w:tcPr>
            <w:tcW w:w="136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三、承研单位</w:t>
            </w:r>
            <w:r>
              <w:rPr>
                <w:rFonts w:hint="eastAsia"/>
                <w:spacing w:val="-10"/>
                <w:sz w:val="24"/>
                <w:szCs w:val="24"/>
              </w:rPr>
              <w:t>和负责人</w:t>
            </w:r>
            <w:r>
              <w:rPr>
                <w:rFonts w:hint="eastAsia"/>
                <w:spacing w:val="-10"/>
                <w:sz w:val="24"/>
                <w:szCs w:val="24"/>
              </w:rPr>
              <w:t>的资格要求</w:t>
            </w:r>
          </w:p>
        </w:tc>
        <w:tc>
          <w:tcPr>
            <w:tcW w:w="764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．承研单位不具备相应管理办法所要求的资质，如企事业法人资格、</w:t>
            </w:r>
            <w:r>
              <w:rPr>
                <w:rFonts w:hint="eastAsia"/>
                <w:sz w:val="24"/>
                <w:szCs w:val="24"/>
              </w:rPr>
              <w:t>相应保密资质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．项目承研单位不负责项目直接实施，而由其下属具有独立法人资格的单位负责承担；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项目负责人应是（牵头）申报单位正式在编人员，具有副高级以上（含）专业技术职务。</w:t>
            </w:r>
          </w:p>
        </w:tc>
      </w:tr>
      <w:tr w:rsidR="00000000">
        <w:trPr>
          <w:trHeight w:val="1635"/>
          <w:jc w:val="center"/>
        </w:trPr>
        <w:tc>
          <w:tcPr>
            <w:tcW w:w="136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四、申请内容与指南的一致性</w:t>
            </w:r>
          </w:p>
        </w:tc>
        <w:tc>
          <w:tcPr>
            <w:tcW w:w="764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项目未在指南发布范围内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．已列入国家或军队其他科研计划的；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．研究周期、经费规模</w:t>
            </w:r>
            <w:r>
              <w:rPr>
                <w:rFonts w:hint="eastAsia"/>
                <w:sz w:val="24"/>
                <w:szCs w:val="24"/>
              </w:rPr>
              <w:t>、承担单位数量不符合</w:t>
            </w:r>
            <w:r>
              <w:rPr>
                <w:rFonts w:hint="eastAsia"/>
                <w:sz w:val="24"/>
                <w:szCs w:val="24"/>
              </w:rPr>
              <w:t>要求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00000">
        <w:trPr>
          <w:trHeight w:val="1530"/>
          <w:jc w:val="center"/>
        </w:trPr>
        <w:tc>
          <w:tcPr>
            <w:tcW w:w="136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五、经费匡算及有关规定的符合性</w:t>
            </w:r>
          </w:p>
        </w:tc>
        <w:tc>
          <w:tcPr>
            <w:tcW w:w="7648" w:type="dxa"/>
            <w:vAlign w:val="center"/>
          </w:tcPr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违反财防〔</w:t>
            </w:r>
            <w:r>
              <w:rPr>
                <w:rFonts w:hint="eastAsia"/>
                <w:sz w:val="24"/>
                <w:szCs w:val="24"/>
              </w:rPr>
              <w:t>2008</w:t>
            </w:r>
            <w:r>
              <w:rPr>
                <w:rFonts w:hint="eastAsia"/>
                <w:sz w:val="24"/>
                <w:szCs w:val="24"/>
              </w:rPr>
              <w:t>〕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号文的有关规定和要求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000000" w:rsidRDefault="00354A79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．有联合承研单位的项目，主承研单位与联合承研单位各项经费之和与项目总经费匡算</w:t>
            </w:r>
            <w:r>
              <w:rPr>
                <w:rFonts w:hint="eastAsia"/>
                <w:sz w:val="24"/>
                <w:szCs w:val="24"/>
              </w:rPr>
              <w:t>不</w:t>
            </w:r>
            <w:r>
              <w:rPr>
                <w:rFonts w:hint="eastAsia"/>
                <w:sz w:val="24"/>
                <w:szCs w:val="24"/>
              </w:rPr>
              <w:t>一致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354A79" w:rsidRDefault="00354A79">
      <w:pPr>
        <w:spacing w:line="460" w:lineRule="exact"/>
        <w:ind w:leftChars="100" w:left="280" w:rightChars="137" w:right="384" w:firstLineChars="0" w:firstLine="0"/>
        <w:jc w:val="left"/>
        <w:rPr>
          <w:rFonts w:ascii="仿宋_GB2312" w:eastAsia="仿宋_GB2312" w:hAnsi="仿宋_GB2312" w:hint="eastAsia"/>
          <w:szCs w:val="32"/>
        </w:rPr>
      </w:pPr>
    </w:p>
    <w:sectPr w:rsidR="00354A79">
      <w:footerReference w:type="default" r:id="rId6"/>
      <w:pgSz w:w="11906" w:h="16838"/>
      <w:pgMar w:top="1440" w:right="1800" w:bottom="1538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79" w:rsidRDefault="00354A79" w:rsidP="001228A9">
      <w:pPr>
        <w:spacing w:line="240" w:lineRule="auto"/>
        <w:ind w:firstLine="560"/>
      </w:pPr>
      <w:r>
        <w:separator/>
      </w:r>
    </w:p>
  </w:endnote>
  <w:endnote w:type="continuationSeparator" w:id="0">
    <w:p w:rsidR="00354A79" w:rsidRDefault="00354A79" w:rsidP="001228A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4A79" w:rsidP="001228A9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79" w:rsidRDefault="00354A79" w:rsidP="001228A9">
      <w:pPr>
        <w:spacing w:line="240" w:lineRule="auto"/>
        <w:ind w:firstLine="560"/>
      </w:pPr>
      <w:r>
        <w:separator/>
      </w:r>
    </w:p>
  </w:footnote>
  <w:footnote w:type="continuationSeparator" w:id="0">
    <w:p w:rsidR="00354A79" w:rsidRDefault="00354A79" w:rsidP="001228A9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28A9"/>
    <w:rsid w:val="00354A79"/>
    <w:rsid w:val="6D26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kern w:val="2"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Cambria" w:eastAsia="仿宋_GB2312" w:hAnsi="Cambria"/>
      <w:b/>
      <w:bCs/>
      <w:sz w:val="30"/>
      <w:szCs w:val="32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spacing w:beforeLines="200"/>
      <w:ind w:firstLine="640"/>
      <w:outlineLvl w:val="3"/>
    </w:pPr>
    <w:rPr>
      <w:rFonts w:ascii="Arial" w:eastAsia="黑体" w:hAnsi="Arial"/>
      <w:sz w:val="32"/>
    </w:rPr>
  </w:style>
  <w:style w:type="character" w:default="1" w:styleId="a0">
    <w:name w:val="Default Paragraph Font"/>
    <w:link w:val="Char1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1">
    <w:name w:val=" Char1"/>
    <w:basedOn w:val="a"/>
    <w:link w:val="a0"/>
    <w:pPr>
      <w:widowControl/>
      <w:spacing w:after="160" w:line="240" w:lineRule="exact"/>
      <w:jc w:val="left"/>
    </w:pPr>
  </w:style>
  <w:style w:type="paragraph" w:styleId="a4">
    <w:name w:val="Document Map"/>
    <w:basedOn w:val="a"/>
    <w:pPr>
      <w:shd w:val="clear" w:color="auto" w:fill="000080"/>
    </w:pPr>
    <w:rPr>
      <w:b/>
      <w:sz w:val="44"/>
    </w:rPr>
  </w:style>
  <w:style w:type="paragraph" w:customStyle="1" w:styleId="CharChar4CharCharCharCharCharCharCharCharCharCharCharCharCharCharCharChar">
    <w:name w:val="Char Char4 Char Char Char Char Char Char Char Char Char Char Char Char Char Char Char Char"/>
    <w:basedOn w:val="a"/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107</Words>
  <Characters>614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关于开展2013年军工科研项目（第一批）申报建议书初审工作的函</dc:title>
  <dc:creator>kjszbg-dj</dc:creator>
  <cp:lastModifiedBy>Administrator</cp:lastModifiedBy>
  <cp:revision>2</cp:revision>
  <cp:lastPrinted>2016-03-22T09:09:00Z</cp:lastPrinted>
  <dcterms:created xsi:type="dcterms:W3CDTF">2018-05-11T01:03:00Z</dcterms:created>
  <dcterms:modified xsi:type="dcterms:W3CDTF">2018-05-11T01:03:00Z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